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A1" w:rsidRPr="00FF5828" w:rsidRDefault="00432BA1" w:rsidP="00432BA1">
      <w:pPr>
        <w:pStyle w:val="Heading1"/>
        <w:rPr>
          <w:rStyle w:val="BookTitle"/>
        </w:rPr>
      </w:pPr>
      <w:bookmarkStart w:id="0" w:name="_PHYSIQUE__(60"/>
      <w:bookmarkEnd w:id="0"/>
      <w:r w:rsidRPr="00FF5828">
        <w:rPr>
          <w:rStyle w:val="BookTitle"/>
        </w:rPr>
        <w:t xml:space="preserve">PHYSIQUE </w:t>
      </w:r>
      <w:r w:rsidRPr="00FF5828">
        <w:rPr>
          <w:rStyle w:val="BookTitle"/>
        </w:rPr>
        <w:br/>
        <w:t xml:space="preserve">(60 periodes) </w:t>
      </w:r>
    </w:p>
    <w:p w:rsidR="00432BA1" w:rsidRPr="00C30C22" w:rsidRDefault="00432BA1" w:rsidP="00432BA1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C30C22">
        <w:rPr>
          <w:rFonts w:ascii="Times New Roman" w:hAnsi="Times New Roman" w:cs="Times New Roman"/>
          <w:sz w:val="24"/>
          <w:szCs w:val="24"/>
        </w:rPr>
        <w:t>Contenu</w:t>
      </w:r>
    </w:p>
    <w:p w:rsidR="00432BA1" w:rsidRPr="00CC7DE9" w:rsidRDefault="00432BA1" w:rsidP="00432BA1">
      <w:pPr>
        <w:pStyle w:val="Title"/>
        <w:rPr>
          <w:rFonts w:ascii="Times New Roman" w:hAnsi="Times New Roman" w:cs="Times New Roman"/>
          <w:color w:val="000000" w:themeColor="text1"/>
          <w:szCs w:val="28"/>
        </w:rPr>
      </w:pPr>
      <w:r w:rsidRPr="00CC7DE9">
        <w:rPr>
          <w:rFonts w:ascii="Times New Roman" w:hAnsi="Times New Roman" w:cs="Times New Roman"/>
          <w:color w:val="000000" w:themeColor="text1"/>
          <w:szCs w:val="28"/>
          <w:u w:val="single"/>
        </w:rPr>
        <w:t>Chapitre 1</w:t>
      </w:r>
      <w:r w:rsidRPr="00CC7DE9">
        <w:rPr>
          <w:rFonts w:ascii="Times New Roman" w:hAnsi="Times New Roman" w:cs="Times New Roman"/>
          <w:color w:val="000000" w:themeColor="text1"/>
          <w:szCs w:val="28"/>
          <w:u w:val="single"/>
        </w:rPr>
        <w:br/>
      </w:r>
      <w:r w:rsidRPr="00CC7DE9">
        <w:rPr>
          <w:rFonts w:ascii="Times New Roman" w:hAnsi="Times New Roman" w:cs="Times New Roman"/>
          <w:color w:val="000000" w:themeColor="text1"/>
          <w:szCs w:val="28"/>
        </w:rPr>
        <w:t>Champ de vecteurs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Objectifs</w:t>
      </w:r>
    </w:p>
    <w:p w:rsidR="00432BA1" w:rsidRPr="00CC7DE9" w:rsidRDefault="00432BA1" w:rsidP="00432BA1">
      <w:pPr>
        <w:ind w:left="284" w:firstLine="283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Au terme de ce chapitre, l’élève sera capable :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D’approfondir la notion du vecteur.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D’appliquer les opérations sur les vecteurs.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définir un champ de vecteurs et citer ses propriétés.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Evaluation</w:t>
      </w:r>
    </w:p>
    <w:p w:rsidR="00432BA1" w:rsidRPr="00CC7DE9" w:rsidRDefault="00432BA1" w:rsidP="00432BA1">
      <w:pPr>
        <w:ind w:left="284" w:firstLine="283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L’élève doit être capable :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faire des opérations sur les vecteurs.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déduire les propriétés d’un champ de moment, uniforme, symétrique...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Contenu</w:t>
      </w:r>
    </w:p>
    <w:p w:rsidR="00432BA1" w:rsidRPr="00CC7DE9" w:rsidRDefault="00432BA1" w:rsidP="00432BA1">
      <w:pPr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1.1 Rappel et complément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1.1.1 Espace affine-vecteurs liés, vecteurs libres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1.1.2 Définition générale d’un champ de vecteurs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1.1.3 Produit scalaire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1.1.4 Produit vectoriel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1.1.5 Produit mixte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1.1.6 Double produit vectoriel</w:t>
      </w:r>
    </w:p>
    <w:p w:rsidR="00432BA1" w:rsidRPr="00CC7DE9" w:rsidRDefault="00432BA1" w:rsidP="00432BA1">
      <w:pPr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1.2 Moment d’un vecteur glissant — champ de moment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1.2.1 Définition d’un vecteur glissant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1.2.2 Moment en un point d’un vecteur glissant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1.2.3 Champ de moment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1.2.4 Moment d’un vecteur glissant par rapport à un axe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Méthodologie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L’enseignant doit expliquer aux élèves la nécessité des opérations sur les vecteurs en mécanique.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L’enseignant doit éviter les exposés théoriques et longs.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L’enseignant doit laisser aux élèves l’initiative de participer à la discussion, de donner des exemples, et de résoudre les exercices aux élèves.</w:t>
      </w:r>
    </w:p>
    <w:p w:rsidR="00432BA1" w:rsidRPr="00CC7DE9" w:rsidRDefault="00432BA1" w:rsidP="00432BA1">
      <w:pPr>
        <w:pStyle w:val="Title"/>
        <w:rPr>
          <w:rFonts w:ascii="Times New Roman" w:hAnsi="Times New Roman" w:cs="Times New Roman"/>
          <w:color w:val="000000" w:themeColor="text1"/>
          <w:szCs w:val="28"/>
        </w:rPr>
      </w:pPr>
      <w:r w:rsidRPr="00CC7DE9">
        <w:rPr>
          <w:rFonts w:ascii="Times New Roman" w:hAnsi="Times New Roman" w:cs="Times New Roman"/>
          <w:color w:val="000000" w:themeColor="text1"/>
          <w:szCs w:val="28"/>
          <w:u w:val="single"/>
        </w:rPr>
        <w:t>Chapitre 2</w:t>
      </w:r>
      <w:r w:rsidRPr="00CC7DE9">
        <w:rPr>
          <w:rFonts w:ascii="Times New Roman" w:hAnsi="Times New Roman" w:cs="Times New Roman"/>
          <w:color w:val="000000" w:themeColor="text1"/>
          <w:szCs w:val="28"/>
        </w:rPr>
        <w:br/>
        <w:t>Torseurs</w:t>
      </w:r>
    </w:p>
    <w:p w:rsidR="00432BA1" w:rsidRDefault="00432BA1" w:rsidP="00432BA1">
      <w:pPr>
        <w:pStyle w:val="Heading3"/>
        <w:contextualSpacing/>
        <w:rPr>
          <w:rFonts w:ascii="Times New Roman" w:hAnsi="Times New Roman" w:cs="Times New Roman"/>
          <w:color w:val="000000" w:themeColor="text1"/>
        </w:rPr>
      </w:pPr>
    </w:p>
    <w:p w:rsidR="00432BA1" w:rsidRPr="00CC7DE9" w:rsidRDefault="00432BA1" w:rsidP="00432BA1">
      <w:pPr>
        <w:pStyle w:val="Heading3"/>
        <w:contextualSpacing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Objectifs</w:t>
      </w:r>
    </w:p>
    <w:p w:rsidR="00432BA1" w:rsidRPr="00CC7DE9" w:rsidRDefault="00432BA1" w:rsidP="00432BA1">
      <w:pPr>
        <w:ind w:left="284" w:firstLine="283"/>
        <w:contextualSpacing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Au terme de ce chapitre, l’élève sera capable :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définir le torseur.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déterminer les éléments de réduction en un point d’un torseur.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préciser les opérations sur les torseurs.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justifier la nature d’un torseur (couple ou glissant).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Evaluation</w:t>
      </w:r>
    </w:p>
    <w:p w:rsidR="00432BA1" w:rsidRPr="00CC7DE9" w:rsidRDefault="00432BA1" w:rsidP="00432BA1">
      <w:pPr>
        <w:ind w:left="284" w:firstLine="283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L’élève doit être capable :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faire des opérations sur les torseurs.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lastRenderedPageBreak/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calculer les éléments de réduction en un point de torseur.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différencier entre un couple et un glissant.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Contenu</w:t>
      </w:r>
    </w:p>
    <w:p w:rsidR="00432BA1" w:rsidRPr="00CC7DE9" w:rsidRDefault="00432BA1" w:rsidP="00432BA1">
      <w:pPr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2.1 Définition — éléments de réduction en un point d’un torseur</w:t>
      </w:r>
    </w:p>
    <w:p w:rsidR="00432BA1" w:rsidRPr="00CC7DE9" w:rsidRDefault="00432BA1" w:rsidP="00432BA1">
      <w:pPr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2.2 Axe central — Moment central</w:t>
      </w:r>
    </w:p>
    <w:p w:rsidR="00432BA1" w:rsidRPr="00CC7DE9" w:rsidRDefault="00432BA1" w:rsidP="00432BA1">
      <w:pPr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2.3 Opérations sur les torseurs</w:t>
      </w:r>
    </w:p>
    <w:p w:rsidR="00432BA1" w:rsidRPr="00CC7DE9" w:rsidRDefault="00432BA1" w:rsidP="00432BA1">
      <w:pPr>
        <w:ind w:left="720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2.1.1 Torseur nul</w:t>
      </w:r>
    </w:p>
    <w:p w:rsidR="00432BA1" w:rsidRPr="00CC7DE9" w:rsidRDefault="00432BA1" w:rsidP="00432BA1">
      <w:pPr>
        <w:ind w:left="720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2.1.2 Egalité de deux torseurs</w:t>
      </w:r>
    </w:p>
    <w:p w:rsidR="00432BA1" w:rsidRPr="00CC7DE9" w:rsidRDefault="00432BA1" w:rsidP="00432BA1">
      <w:pPr>
        <w:ind w:left="720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2.1.3 Addition de deux torseurs</w:t>
      </w:r>
    </w:p>
    <w:p w:rsidR="00432BA1" w:rsidRPr="00CC7DE9" w:rsidRDefault="00432BA1" w:rsidP="00432BA1">
      <w:pPr>
        <w:ind w:left="720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2.1.4 Multiplication de deux torseurs</w:t>
      </w:r>
    </w:p>
    <w:p w:rsidR="00432BA1" w:rsidRPr="00CC7DE9" w:rsidRDefault="00432BA1" w:rsidP="00432BA1">
      <w:pPr>
        <w:ind w:left="720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2.1.5 L’ensemble des torseurs est un espace vectoriel</w:t>
      </w:r>
    </w:p>
    <w:p w:rsidR="00432BA1" w:rsidRPr="00CC7DE9" w:rsidRDefault="00432BA1" w:rsidP="00432BA1">
      <w:pPr>
        <w:ind w:left="720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2.1.6 Le produit scalaire de deux torseurs</w:t>
      </w:r>
    </w:p>
    <w:p w:rsidR="00432BA1" w:rsidRPr="00CC7DE9" w:rsidRDefault="00432BA1" w:rsidP="00432BA1">
      <w:pPr>
        <w:ind w:left="720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2.1.7 Dérivation d’un torseur</w:t>
      </w:r>
    </w:p>
    <w:p w:rsidR="00432BA1" w:rsidRPr="00CC7DE9" w:rsidRDefault="00432BA1" w:rsidP="00432BA1">
      <w:pPr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2.4 Torseur associé à un système de vecteurs glissants (discret et continu)</w:t>
      </w:r>
    </w:p>
    <w:p w:rsidR="00432BA1" w:rsidRPr="00CC7DE9" w:rsidRDefault="00432BA1" w:rsidP="00432BA1">
      <w:pPr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2.5 Torseurs particuliers : couples — glisseurs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Méthodologie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L’enseignant doit expliquer aux élèves l’intérêt de la notion de torseur en mécanique.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L’enseignant doit éviter les exposés théoriques et longs.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L’enseignant doit laisser aux élèves l’initiative de participer à la discussion, de donner des exemples, et de résoudre les exercices aux élèves.</w:t>
      </w:r>
    </w:p>
    <w:p w:rsidR="00432BA1" w:rsidRPr="00CC7DE9" w:rsidRDefault="00432BA1" w:rsidP="00432BA1">
      <w:pPr>
        <w:pStyle w:val="Title"/>
        <w:rPr>
          <w:rFonts w:ascii="Times New Roman" w:hAnsi="Times New Roman" w:cs="Times New Roman"/>
          <w:color w:val="000000" w:themeColor="text1"/>
          <w:szCs w:val="28"/>
        </w:rPr>
      </w:pPr>
      <w:r w:rsidRPr="00CC7DE9">
        <w:rPr>
          <w:rFonts w:ascii="Times New Roman" w:hAnsi="Times New Roman" w:cs="Times New Roman"/>
          <w:color w:val="000000" w:themeColor="text1"/>
          <w:szCs w:val="28"/>
          <w:u w:val="single"/>
        </w:rPr>
        <w:t>Chapitre 3</w:t>
      </w:r>
      <w:r w:rsidRPr="00CC7DE9">
        <w:rPr>
          <w:rFonts w:ascii="Times New Roman" w:hAnsi="Times New Roman" w:cs="Times New Roman"/>
          <w:color w:val="000000" w:themeColor="text1"/>
          <w:szCs w:val="28"/>
          <w:u w:val="single"/>
        </w:rPr>
        <w:br/>
      </w:r>
      <w:r w:rsidRPr="00CC7DE9">
        <w:rPr>
          <w:rFonts w:ascii="Times New Roman" w:hAnsi="Times New Roman" w:cs="Times New Roman"/>
          <w:color w:val="000000" w:themeColor="text1"/>
          <w:szCs w:val="28"/>
        </w:rPr>
        <w:t>Changement du trièdre de reférence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Objectifs</w:t>
      </w:r>
    </w:p>
    <w:p w:rsidR="00432BA1" w:rsidRPr="00CC7DE9" w:rsidRDefault="00432BA1" w:rsidP="00432BA1">
      <w:pPr>
        <w:ind w:left="284" w:firstLine="283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Au terme de ce chapitre, l’élève sera capable :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désigner et définir les paramètres qui définissent les positions d’un trièdre de référence par rapport à un autre.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déduire la matrice de passage.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Evaluation</w:t>
      </w:r>
    </w:p>
    <w:p w:rsidR="00432BA1" w:rsidRPr="00CC7DE9" w:rsidRDefault="00432BA1" w:rsidP="00432BA1">
      <w:pPr>
        <w:ind w:left="284" w:firstLine="283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L’élève doit être capable :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D’utiliser la matrice de passage d’un trièdre de référence à un autre pour calculer (ou chercher) les composantes d’un vecteur dans les deux trièdres.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Contenu</w:t>
      </w:r>
    </w:p>
    <w:p w:rsidR="00432BA1" w:rsidRPr="00CC7DE9" w:rsidRDefault="00432BA1" w:rsidP="00432BA1">
      <w:pPr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3.1 Définition d’un trièdre de référence</w:t>
      </w:r>
    </w:p>
    <w:p w:rsidR="00432BA1" w:rsidRPr="00CC7DE9" w:rsidRDefault="00432BA1" w:rsidP="00432BA1">
      <w:pPr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3.2 Position de deux trièdres de référence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3.2.1 Les deux trièdres ont même origine</w:t>
      </w:r>
    </w:p>
    <w:p w:rsidR="00432BA1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3.2.2 Matrice de cosinus directeurs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3. 2.3 Angle d’Euler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3.2.4 Vecteur de rotation instantané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3.2.5 Les deux trièdres sont quelconques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Méthodologie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Il s’agit d’initier les élèves au moyen de passage d’un trièdre de référence à un autre, et il est essentiel que cet enseignement soit dispensé sous une forme pratique où les élèves, après un exposé de l’enseignant, appliquent les exercices demandés.</w:t>
      </w:r>
    </w:p>
    <w:p w:rsidR="00432BA1" w:rsidRPr="00CC7DE9" w:rsidRDefault="00432BA1" w:rsidP="00432BA1">
      <w:pPr>
        <w:pStyle w:val="Title"/>
        <w:rPr>
          <w:rFonts w:ascii="Times New Roman" w:hAnsi="Times New Roman" w:cs="Times New Roman"/>
          <w:color w:val="000000" w:themeColor="text1"/>
          <w:szCs w:val="28"/>
        </w:rPr>
      </w:pPr>
      <w:r w:rsidRPr="00CC7DE9">
        <w:rPr>
          <w:rFonts w:ascii="Times New Roman" w:hAnsi="Times New Roman" w:cs="Times New Roman"/>
          <w:color w:val="000000" w:themeColor="text1"/>
          <w:szCs w:val="28"/>
          <w:u w:val="single"/>
        </w:rPr>
        <w:t xml:space="preserve">Chapitre 4 </w:t>
      </w:r>
      <w:r w:rsidRPr="00CC7DE9">
        <w:rPr>
          <w:rFonts w:ascii="Times New Roman" w:hAnsi="Times New Roman" w:cs="Times New Roman"/>
          <w:color w:val="000000" w:themeColor="text1"/>
          <w:szCs w:val="28"/>
          <w:u w:val="single"/>
        </w:rPr>
        <w:br/>
      </w:r>
      <w:r w:rsidRPr="00CC7DE9">
        <w:rPr>
          <w:rFonts w:ascii="Times New Roman" w:hAnsi="Times New Roman" w:cs="Times New Roman"/>
          <w:color w:val="000000" w:themeColor="text1"/>
          <w:szCs w:val="28"/>
        </w:rPr>
        <w:t>Cinématique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Objectifs</w:t>
      </w:r>
    </w:p>
    <w:p w:rsidR="00432BA1" w:rsidRPr="00CC7DE9" w:rsidRDefault="00432BA1" w:rsidP="00432BA1">
      <w:pPr>
        <w:ind w:left="284" w:firstLine="283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Au terme de ce chapitre, l’élève sera capable :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lastRenderedPageBreak/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définir le mouvement, le vecteur-vitesse, le vecteur-accélération et la trajectoire d’un point mobile.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déterminer les composantes du vecteur-vitesse et du vecteur-accélération suivant les coordonnées du point mobile.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D’étudier le mouvement d’un point à accélération centrale.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déterminer la position d’un solide par rapport à un trièdre de référence.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donner les éléments de réduction du torseur distributeur des vitesses d’un solide en un point de ce solide, et de déduire le champ des accélérations.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justifier la composition du vecteur-vitesse et du vecteur-accélération (composition du mouvement).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définir le Centre Instantané de Rotation (CIR) d’un mouvement « plan sur plan », ainsi que sa trajectoire dans le plan fixe (base) et sa trajectoire dans le plan mobile (roulante).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Evaluation</w:t>
      </w:r>
    </w:p>
    <w:p w:rsidR="00432BA1" w:rsidRPr="00CC7DE9" w:rsidRDefault="00432BA1" w:rsidP="00432BA1">
      <w:pPr>
        <w:ind w:left="284" w:firstLine="283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L’élève doit être capable :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décrire le mouvement d’un point mobile.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calculer les composantes du vecteur-vitesse et du vecteur-accélération selon les coordonnées.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prouver que le mouvement d’un point est à accélération centrale et appliquer les formules des Binet.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faire l’étude d’un mouvement d’un corps solide par rapport à un trièdre de référence fixe ou mobile (composition du mouvement).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calculer les éléments de réduction du torseur distributeur des vitesses d’un solide.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 xml:space="preserve">D’appliquer le principe de décomposition du vecteur-vitesse et de la vectrice </w:t>
      </w:r>
      <w:r w:rsidRPr="00CC7DE9">
        <w:rPr>
          <w:rFonts w:cs="Times New Roman"/>
          <w:color w:val="000000" w:themeColor="text1"/>
          <w:sz w:val="24"/>
          <w:lang w:val="fr-FR"/>
        </w:rPr>
        <w:softHyphen/>
        <w:t>accélération.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trouver le centre instantané de rotation (CIR) du mouvement « plan sur plan », la base, et la roulante.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Contenu</w:t>
      </w:r>
    </w:p>
    <w:p w:rsidR="00432BA1" w:rsidRPr="00CC7DE9" w:rsidRDefault="00432BA1" w:rsidP="00432BA1">
      <w:pPr>
        <w:ind w:left="426" w:hanging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4.1 Cinématique du point</w:t>
      </w:r>
    </w:p>
    <w:p w:rsidR="00432BA1" w:rsidRPr="00CC7DE9" w:rsidRDefault="00432BA1" w:rsidP="00432BA1">
      <w:pPr>
        <w:ind w:left="993" w:hanging="567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4.1.1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Définition d’un point en mouvement vecteur-vitesse, vecteur-accélération, trajectoire...</w:t>
      </w:r>
    </w:p>
    <w:p w:rsidR="00432BA1" w:rsidRPr="00CC7DE9" w:rsidRDefault="00432BA1" w:rsidP="00432BA1">
      <w:pPr>
        <w:ind w:left="993" w:hanging="567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4.1.2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Composantes du vecteur-vitesse et du vecteur-accélération sur la base de Frenel</w:t>
      </w:r>
    </w:p>
    <w:p w:rsidR="00432BA1" w:rsidRPr="00CC7DE9" w:rsidRDefault="00432BA1" w:rsidP="00432BA1">
      <w:pPr>
        <w:ind w:left="993" w:hanging="567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4.1.3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Composantes du vecteur-vitesse et du vecteur-accélération en coordonnées cartésiennes, scalaires (mouvement plan) et cylindriques</w:t>
      </w:r>
    </w:p>
    <w:p w:rsidR="00432BA1" w:rsidRPr="00CC7DE9" w:rsidRDefault="00432BA1" w:rsidP="00432BA1">
      <w:pPr>
        <w:ind w:left="993" w:hanging="567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4.1.4 Composantes du vecteur-vitesse et du vecteur-accélération en coordonnées sphériques</w:t>
      </w:r>
    </w:p>
    <w:p w:rsidR="00432BA1" w:rsidRPr="00CC7DE9" w:rsidRDefault="00432BA1" w:rsidP="00432BA1">
      <w:pPr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4.2 Cinématique du solide</w:t>
      </w:r>
    </w:p>
    <w:p w:rsidR="00432BA1" w:rsidRDefault="00432BA1" w:rsidP="00432BA1">
      <w:pPr>
        <w:ind w:left="993" w:hanging="567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4.2.1 Notion du solide — position d’un solide</w:t>
      </w:r>
    </w:p>
    <w:p w:rsidR="00432BA1" w:rsidRPr="00CC7DE9" w:rsidRDefault="00432BA1" w:rsidP="00432BA1">
      <w:pPr>
        <w:ind w:left="993" w:hanging="567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4.2.2 Dérivée temporelle d’un vecteur</w:t>
      </w:r>
    </w:p>
    <w:p w:rsidR="00432BA1" w:rsidRPr="00CC7DE9" w:rsidRDefault="00432BA1" w:rsidP="00432BA1">
      <w:pPr>
        <w:ind w:left="993" w:hanging="567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4.2.3 Champ des vitesses d’un solide — Torseur</w:t>
      </w:r>
    </w:p>
    <w:p w:rsidR="00432BA1" w:rsidRPr="00CC7DE9" w:rsidRDefault="00432BA1" w:rsidP="00432BA1">
      <w:pPr>
        <w:ind w:left="993" w:hanging="567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4.2.4 Champ des accélérations</w:t>
      </w:r>
    </w:p>
    <w:p w:rsidR="00432BA1" w:rsidRPr="00CC7DE9" w:rsidRDefault="00432BA1" w:rsidP="00432BA1">
      <w:pPr>
        <w:ind w:left="993" w:hanging="567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4.2.5 Composition des mouvements</w:t>
      </w:r>
    </w:p>
    <w:p w:rsidR="00432BA1" w:rsidRPr="00CC7DE9" w:rsidRDefault="00432BA1" w:rsidP="00432BA1">
      <w:pPr>
        <w:ind w:left="993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4.2.5.1 Composition des vitesses</w:t>
      </w:r>
    </w:p>
    <w:p w:rsidR="00432BA1" w:rsidRPr="00CC7DE9" w:rsidRDefault="00432BA1" w:rsidP="00432BA1">
      <w:pPr>
        <w:ind w:left="993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4.2.5.2 Composition des accélérations</w:t>
      </w:r>
    </w:p>
    <w:p w:rsidR="00432BA1" w:rsidRPr="00CC7DE9" w:rsidRDefault="00432BA1" w:rsidP="00432BA1">
      <w:pPr>
        <w:ind w:left="993" w:hanging="567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4.2.6 Mouvement de translation, rotation autour d’un axe fixe, hélicoïdal, rotation autour d’un point fixe du solide, vecteur de rotation instantanée, mouvement quelconque</w:t>
      </w:r>
    </w:p>
    <w:p w:rsidR="00432BA1" w:rsidRPr="00CC7DE9" w:rsidRDefault="00432BA1" w:rsidP="00432BA1">
      <w:pPr>
        <w:ind w:left="993" w:hanging="567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4.2.7 Cinématique de contact de deux solides, vitesse de glissement</w:t>
      </w:r>
    </w:p>
    <w:p w:rsidR="00432BA1" w:rsidRPr="00CC7DE9" w:rsidRDefault="00432BA1" w:rsidP="00432BA1">
      <w:pPr>
        <w:ind w:left="993" w:hanging="567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4.2.8 Mouvement «plan sur plan», Centre Instantané de rotation, base et roulante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Méthodologie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L’enseignant doit aider les élèves à la compréhension de ce chapitre et à la résolution de plusieurs problèmes au moyen d’applications directes.</w:t>
      </w:r>
    </w:p>
    <w:p w:rsidR="00D54C09" w:rsidRDefault="00D54C09" w:rsidP="00432BA1">
      <w:pPr>
        <w:pStyle w:val="Title"/>
        <w:rPr>
          <w:rFonts w:ascii="Times New Roman" w:hAnsi="Times New Roman" w:cs="Times New Roman"/>
          <w:color w:val="000000" w:themeColor="text1"/>
          <w:szCs w:val="28"/>
          <w:u w:val="single"/>
        </w:rPr>
      </w:pPr>
    </w:p>
    <w:p w:rsidR="00432BA1" w:rsidRPr="00CC7DE9" w:rsidRDefault="00432BA1" w:rsidP="00432BA1">
      <w:pPr>
        <w:pStyle w:val="Title"/>
        <w:rPr>
          <w:rFonts w:ascii="Times New Roman" w:hAnsi="Times New Roman" w:cs="Times New Roman"/>
          <w:color w:val="000000" w:themeColor="text1"/>
          <w:szCs w:val="28"/>
        </w:rPr>
      </w:pPr>
      <w:r w:rsidRPr="00CC7DE9">
        <w:rPr>
          <w:rFonts w:ascii="Times New Roman" w:hAnsi="Times New Roman" w:cs="Times New Roman"/>
          <w:color w:val="000000" w:themeColor="text1"/>
          <w:szCs w:val="28"/>
          <w:u w:val="single"/>
        </w:rPr>
        <w:lastRenderedPageBreak/>
        <w:t xml:space="preserve">Chapitre 5 </w:t>
      </w:r>
      <w:r w:rsidRPr="00CC7DE9">
        <w:rPr>
          <w:rFonts w:ascii="Times New Roman" w:hAnsi="Times New Roman" w:cs="Times New Roman"/>
          <w:color w:val="000000" w:themeColor="text1"/>
          <w:szCs w:val="28"/>
          <w:u w:val="single"/>
        </w:rPr>
        <w:br/>
      </w:r>
      <w:r w:rsidRPr="00CC7DE9">
        <w:rPr>
          <w:rFonts w:ascii="Times New Roman" w:hAnsi="Times New Roman" w:cs="Times New Roman"/>
          <w:color w:val="000000" w:themeColor="text1"/>
          <w:szCs w:val="28"/>
        </w:rPr>
        <w:t>Géométrie des Masses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Objectifs</w:t>
      </w:r>
    </w:p>
    <w:p w:rsidR="00432BA1" w:rsidRPr="00CC7DE9" w:rsidRDefault="00432BA1" w:rsidP="00432BA1">
      <w:pPr>
        <w:ind w:left="284" w:firstLine="283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Au terme de ce chapitre, l’élève sera capable :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définir et déterminer le centre de masse d’un solide.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calculer le moment d’inertie en un point d’un solide.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Evaluation</w:t>
      </w:r>
    </w:p>
    <w:p w:rsidR="00432BA1" w:rsidRPr="00CC7DE9" w:rsidRDefault="00432BA1" w:rsidP="00432BA1">
      <w:pPr>
        <w:ind w:left="284" w:firstLine="283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L’élève doit être capable :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trouver le centre de masse d’un solide particulier ou d’un solide quelconque.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préciser les axes principaux d’inertie d’un solide après le calcul du moment motrice d’inertie.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Contenu</w:t>
      </w:r>
    </w:p>
    <w:p w:rsidR="00432BA1" w:rsidRPr="00CC7DE9" w:rsidRDefault="00432BA1" w:rsidP="00432BA1">
      <w:pPr>
        <w:ind w:left="426" w:hanging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5.1 Système matériel (définition) — Masse</w:t>
      </w:r>
    </w:p>
    <w:p w:rsidR="00432BA1" w:rsidRPr="00CC7DE9" w:rsidRDefault="00432BA1" w:rsidP="00432BA1">
      <w:pPr>
        <w:ind w:left="426" w:hanging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5.2 Centre de masse (ou centre d’inertie ou centre de gravité); définition et propriétés</w:t>
      </w:r>
    </w:p>
    <w:p w:rsidR="00432BA1" w:rsidRPr="00CC7DE9" w:rsidRDefault="00432BA1" w:rsidP="00432BA1">
      <w:pPr>
        <w:ind w:left="426" w:hanging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5.3 Moments d’inertie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5.3.1 Définition des moments d’inertie par rapport à un point, un plan, un axe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5.3.2 Produits d’inertie — définition, propriétés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5.3.3 Motrice d’inertie — définition, propriétés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5.3.4 Moments et axes principaux d’inertie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Méthodologie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Il est essentiel que ce chapitre soit expliqué avec des applications directes sur des solides particuliers.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L’enseignant doit éviter les calculs compliqués.</w:t>
      </w:r>
    </w:p>
    <w:p w:rsidR="00432BA1" w:rsidRPr="00CC7DE9" w:rsidRDefault="00432BA1" w:rsidP="00432BA1">
      <w:pPr>
        <w:pStyle w:val="Title"/>
        <w:rPr>
          <w:rFonts w:ascii="Times New Roman" w:hAnsi="Times New Roman" w:cs="Times New Roman"/>
          <w:color w:val="000000" w:themeColor="text1"/>
          <w:szCs w:val="28"/>
        </w:rPr>
      </w:pPr>
      <w:r w:rsidRPr="00CC7DE9">
        <w:rPr>
          <w:rFonts w:ascii="Times New Roman" w:hAnsi="Times New Roman" w:cs="Times New Roman"/>
          <w:color w:val="000000" w:themeColor="text1"/>
          <w:szCs w:val="28"/>
          <w:u w:val="single"/>
        </w:rPr>
        <w:t xml:space="preserve">Chapitre 6 </w:t>
      </w:r>
      <w:r w:rsidRPr="00CC7DE9">
        <w:rPr>
          <w:rFonts w:ascii="Times New Roman" w:hAnsi="Times New Roman" w:cs="Times New Roman"/>
          <w:color w:val="000000" w:themeColor="text1"/>
          <w:szCs w:val="28"/>
          <w:u w:val="single"/>
        </w:rPr>
        <w:br/>
      </w:r>
      <w:r w:rsidRPr="00CC7DE9">
        <w:rPr>
          <w:rFonts w:ascii="Times New Roman" w:hAnsi="Times New Roman" w:cs="Times New Roman"/>
          <w:color w:val="000000" w:themeColor="text1"/>
          <w:szCs w:val="28"/>
        </w:rPr>
        <w:t>Cinétique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Objectifs</w:t>
      </w:r>
    </w:p>
    <w:p w:rsidR="00432BA1" w:rsidRPr="00CC7DE9" w:rsidRDefault="00432BA1" w:rsidP="00432BA1">
      <w:pPr>
        <w:ind w:left="284" w:firstLine="283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Au terme de ce chapitre, l’élève sera capable :</w:t>
      </w:r>
    </w:p>
    <w:p w:rsidR="00432BA1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citer les caractéristiques du torseur cinétique, du torseur dynamique, et de l’énergie cinétique d’une particule, d’un solide et d’un système matériel.</w:t>
      </w:r>
    </w:p>
    <w:p w:rsidR="00432BA1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Evaluation</w:t>
      </w:r>
    </w:p>
    <w:p w:rsidR="00432BA1" w:rsidRPr="00CC7DE9" w:rsidRDefault="00432BA1" w:rsidP="00432BA1">
      <w:pPr>
        <w:ind w:left="284" w:firstLine="283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L’élève doit être capable :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calculer, avec performance, les éléments de réduction du torseur cinétique et du torseur dynamique, ainsi que l’énergie cinétique d’une particule, d’un solide, et d’un système matériel en mouvement.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Contenu</w:t>
      </w:r>
    </w:p>
    <w:p w:rsidR="00432BA1" w:rsidRPr="00CC7DE9" w:rsidRDefault="00432BA1" w:rsidP="00432BA1">
      <w:pPr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6.1 Cinétique d’un système de points matériels</w:t>
      </w:r>
    </w:p>
    <w:p w:rsidR="00432BA1" w:rsidRPr="00CC7DE9" w:rsidRDefault="00432BA1" w:rsidP="00432BA1">
      <w:pPr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6.2 Généralités sur la cinétique du système de solides</w:t>
      </w:r>
    </w:p>
    <w:p w:rsidR="00432BA1" w:rsidRPr="00CC7DE9" w:rsidRDefault="00432BA1" w:rsidP="00432BA1">
      <w:pPr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6.3 Etude du torseur cinétique et du torseur dynamique — Théorèmes de Koenig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6.3.1 Cas d’un seul solide en mouvement</w:t>
      </w:r>
    </w:p>
    <w:p w:rsidR="00432BA1" w:rsidRPr="00CC7DE9" w:rsidRDefault="00432BA1" w:rsidP="00432BA1">
      <w:pPr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6.4 Energie cinétique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6.4.1 Composition des énergies cinétiques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6.4.2 Cas d’un seul solide en mouvement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Méthodologie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L’enseignant doit éviter les exposés théoriques et longs.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L’enseignant doit faire plusieurs applications directes sur les solides en mouvement.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Les élèves doivent participer à la discussion et à la résolution des exercices.</w:t>
      </w:r>
    </w:p>
    <w:p w:rsidR="00432BA1" w:rsidRPr="00CC7DE9" w:rsidRDefault="00432BA1" w:rsidP="00432BA1">
      <w:pPr>
        <w:pStyle w:val="Title"/>
        <w:rPr>
          <w:rFonts w:ascii="Times New Roman" w:hAnsi="Times New Roman" w:cs="Times New Roman"/>
          <w:color w:val="000000" w:themeColor="text1"/>
          <w:szCs w:val="28"/>
        </w:rPr>
      </w:pPr>
      <w:r w:rsidRPr="00CC7DE9">
        <w:rPr>
          <w:rFonts w:ascii="Times New Roman" w:hAnsi="Times New Roman" w:cs="Times New Roman"/>
          <w:color w:val="000000" w:themeColor="text1"/>
          <w:szCs w:val="28"/>
          <w:u w:val="single"/>
        </w:rPr>
        <w:lastRenderedPageBreak/>
        <w:t>Chapitre 7</w:t>
      </w:r>
      <w:r w:rsidRPr="00CC7DE9">
        <w:rPr>
          <w:rFonts w:ascii="Times New Roman" w:hAnsi="Times New Roman" w:cs="Times New Roman"/>
          <w:color w:val="000000" w:themeColor="text1"/>
          <w:szCs w:val="28"/>
          <w:u w:val="single"/>
        </w:rPr>
        <w:br/>
      </w:r>
      <w:r w:rsidRPr="00CC7DE9">
        <w:rPr>
          <w:rFonts w:ascii="Times New Roman" w:hAnsi="Times New Roman" w:cs="Times New Roman"/>
          <w:color w:val="000000" w:themeColor="text1"/>
          <w:szCs w:val="28"/>
        </w:rPr>
        <w:t>Dynamique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Objectifs</w:t>
      </w:r>
    </w:p>
    <w:p w:rsidR="00432BA1" w:rsidRPr="00CC7DE9" w:rsidRDefault="00432BA1" w:rsidP="00432BA1">
      <w:pPr>
        <w:ind w:left="284" w:firstLine="283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Au terme de ce chapitre, l’élève sera capable :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préciser les rôles des efforts.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distinguer entre les efforts extérieurs et les efforts intérieurs à un système.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D’étudier le mouvement d’un système matériel en appliquant les principes fondamentaux de la dynamique et le théorème de l’énergie.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trouver les équations du mouvement, et déduire les intégrales premières du mouvement.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Evaluation</w:t>
      </w:r>
    </w:p>
    <w:p w:rsidR="00432BA1" w:rsidRPr="00CC7DE9" w:rsidRDefault="00432BA1" w:rsidP="00432BA1">
      <w:pPr>
        <w:ind w:left="284" w:firstLine="283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L’élève doit être capable :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D’indiquer la nature des efforts qui s’appliquent au système matériel, c’est-à-dire s’ils sont des efforts extérieurs ou intérieurs.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De préciser la nature du mouvement du système selon les efforts qui s’appliquent et la nature des liaisons.</w:t>
      </w:r>
    </w:p>
    <w:p w:rsidR="00432BA1" w:rsidRPr="00CC7DE9" w:rsidRDefault="00432BA1" w:rsidP="00432BA1">
      <w:pPr>
        <w:ind w:left="284" w:hanging="28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–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D’écrire, après justification, en appliquant les théorèmes généraux et le théorème d’énergie, les équations du mouvement, et déduire les intégrales premières du mouvement.</w:t>
      </w:r>
    </w:p>
    <w:p w:rsidR="00432BA1" w:rsidRPr="00CC7DE9" w:rsidRDefault="00432BA1" w:rsidP="00432BA1">
      <w:pPr>
        <w:pStyle w:val="Heading3"/>
        <w:rPr>
          <w:rFonts w:ascii="Times New Roman" w:hAnsi="Times New Roman" w:cs="Times New Roman"/>
          <w:color w:val="000000" w:themeColor="text1"/>
        </w:rPr>
      </w:pPr>
      <w:r w:rsidRPr="00CC7DE9">
        <w:rPr>
          <w:rFonts w:ascii="Times New Roman" w:hAnsi="Times New Roman" w:cs="Times New Roman"/>
          <w:color w:val="000000" w:themeColor="text1"/>
        </w:rPr>
        <w:t>Contenu</w:t>
      </w:r>
    </w:p>
    <w:p w:rsidR="00432BA1" w:rsidRPr="00CC7DE9" w:rsidRDefault="00432BA1" w:rsidP="00432BA1">
      <w:pPr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7.1 Forces exercées sur un point — Représentation des forces</w:t>
      </w:r>
    </w:p>
    <w:p w:rsidR="00432BA1" w:rsidRPr="00CC7DE9" w:rsidRDefault="00432BA1" w:rsidP="00432BA1">
      <w:pPr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7.2 Efforts extérieurs sur un système matériel — Torseur des efforts extérieurs</w:t>
      </w:r>
    </w:p>
    <w:p w:rsidR="00432BA1" w:rsidRPr="00CC7DE9" w:rsidRDefault="00432BA1" w:rsidP="00432BA1">
      <w:pPr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7.3 Efforts intérieurs à un système matériel — Torseur des efforts intérieurs</w:t>
      </w:r>
    </w:p>
    <w:p w:rsidR="00432BA1" w:rsidRPr="00CC7DE9" w:rsidRDefault="00432BA1" w:rsidP="00432BA1">
      <w:pPr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7.4 Liaisons - Réactions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7.4.1 Degrés de liberté d’un système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7.4.2 Liaisons et forces de liaison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7.4.3 Efforts de contact de deux solides avec et sans frottements — Lois de Coulissants</w:t>
      </w:r>
    </w:p>
    <w:p w:rsidR="00432BA1" w:rsidRPr="00CC7DE9" w:rsidRDefault="00432BA1" w:rsidP="00432BA1">
      <w:pPr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7.5 Principes fondamentaux de la dynamique</w:t>
      </w:r>
    </w:p>
    <w:p w:rsidR="00432BA1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7.5.1 Principe de l’action et de la dynamique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7.5.2 Principe de la statique — Equilibre — Divers types d’équilibre et conditions d’équilibre</w:t>
      </w:r>
    </w:p>
    <w:p w:rsidR="00432BA1" w:rsidRPr="00CC7DE9" w:rsidRDefault="00432BA1" w:rsidP="00432BA1">
      <w:pPr>
        <w:ind w:left="426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7.5.3 Principe fondamental de la dynamique</w:t>
      </w:r>
    </w:p>
    <w:p w:rsidR="00432BA1" w:rsidRPr="00CC7DE9" w:rsidRDefault="00432BA1" w:rsidP="00432BA1">
      <w:pPr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7.6 Théorèmes généraux de la dynamique, les 3 cas d’intégrales premières</w:t>
      </w:r>
    </w:p>
    <w:p w:rsidR="00432BA1" w:rsidRPr="00CC7DE9" w:rsidRDefault="00432BA1" w:rsidP="00432BA1">
      <w:pPr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7.7 Théorème de l’énergie</w:t>
      </w:r>
    </w:p>
    <w:p w:rsidR="00432BA1" w:rsidRPr="00CC7DE9" w:rsidRDefault="00432BA1" w:rsidP="00432BA1">
      <w:pPr>
        <w:ind w:left="1049" w:hanging="62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7.7.1  Travail élémentaire d’une force ou d’un couple</w:t>
      </w:r>
    </w:p>
    <w:p w:rsidR="00432BA1" w:rsidRPr="00CC7DE9" w:rsidRDefault="00432BA1" w:rsidP="00432BA1">
      <w:pPr>
        <w:ind w:left="1049" w:hanging="62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7.7.2  Fonction de forces — Energie potentielle</w:t>
      </w:r>
    </w:p>
    <w:p w:rsidR="00432BA1" w:rsidRPr="00CC7DE9" w:rsidRDefault="00432BA1" w:rsidP="00432BA1">
      <w:pPr>
        <w:ind w:left="1049" w:hanging="62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7.7.3  Travail des forces intérieures d’un système matériel</w:t>
      </w:r>
    </w:p>
    <w:p w:rsidR="00432BA1" w:rsidRPr="00CC7DE9" w:rsidRDefault="00432BA1" w:rsidP="00432BA1">
      <w:pPr>
        <w:ind w:left="1049" w:hanging="62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7.7.4  Théorème de l’énergie pour un système matériel</w:t>
      </w:r>
    </w:p>
    <w:p w:rsidR="00432BA1" w:rsidRPr="00CC7DE9" w:rsidRDefault="00432BA1" w:rsidP="00432BA1">
      <w:pPr>
        <w:ind w:left="1049" w:hanging="62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7.7.5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Système conservatif — 4</w:t>
      </w:r>
      <w:r w:rsidRPr="00CC7DE9">
        <w:rPr>
          <w:rFonts w:cs="Times New Roman"/>
          <w:color w:val="000000" w:themeColor="text1"/>
          <w:sz w:val="24"/>
          <w:vertAlign w:val="superscript"/>
          <w:lang w:val="fr-FR"/>
        </w:rPr>
        <w:t>ème</w:t>
      </w:r>
      <w:r w:rsidRPr="00CC7DE9">
        <w:rPr>
          <w:rFonts w:cs="Times New Roman"/>
          <w:color w:val="000000" w:themeColor="text1"/>
          <w:sz w:val="24"/>
          <w:lang w:val="fr-FR"/>
        </w:rPr>
        <w:t xml:space="preserve"> cas d’intégrale, première conservation de l’énergie mécanique</w:t>
      </w:r>
    </w:p>
    <w:p w:rsidR="00432BA1" w:rsidRPr="00CC7DE9" w:rsidRDefault="00432BA1" w:rsidP="00432BA1">
      <w:pPr>
        <w:ind w:left="1049" w:hanging="62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 xml:space="preserve">7.7.6 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Force d’inertie</w:t>
      </w:r>
    </w:p>
    <w:p w:rsidR="00432BA1" w:rsidRPr="00CC7DE9" w:rsidRDefault="00432BA1" w:rsidP="00432BA1">
      <w:pPr>
        <w:ind w:left="1049" w:hanging="62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 xml:space="preserve">7.7.8 </w:t>
      </w:r>
      <w:r w:rsidRPr="00CC7DE9">
        <w:rPr>
          <w:rFonts w:cs="Times New Roman"/>
          <w:color w:val="000000" w:themeColor="text1"/>
          <w:sz w:val="24"/>
          <w:lang w:val="fr-FR"/>
        </w:rPr>
        <w:tab/>
        <w:t>Equilibre de systèmes des forces</w:t>
      </w:r>
    </w:p>
    <w:p w:rsidR="00432BA1" w:rsidRPr="00CC7DE9" w:rsidRDefault="00432BA1" w:rsidP="00432BA1">
      <w:pPr>
        <w:ind w:left="113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7.7.8.1 Equilibre statique</w:t>
      </w:r>
    </w:p>
    <w:p w:rsidR="00432BA1" w:rsidRPr="00CC7DE9" w:rsidRDefault="00432BA1" w:rsidP="00432BA1">
      <w:pPr>
        <w:ind w:left="113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7.7.8.2 Equilibre dynamique</w:t>
      </w:r>
    </w:p>
    <w:p w:rsidR="00432BA1" w:rsidRPr="00CC7DE9" w:rsidRDefault="00432BA1" w:rsidP="00432BA1">
      <w:pPr>
        <w:ind w:left="113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7.7.8.3 Equilibre des masses situées sur même axe</w:t>
      </w:r>
    </w:p>
    <w:p w:rsidR="00432BA1" w:rsidRPr="00CC7DE9" w:rsidRDefault="00432BA1" w:rsidP="000D523C">
      <w:pPr>
        <w:ind w:left="1134"/>
        <w:jc w:val="lowKashida"/>
        <w:rPr>
          <w:rFonts w:cs="Times New Roman"/>
          <w:color w:val="000000" w:themeColor="text1"/>
          <w:sz w:val="24"/>
          <w:lang w:val="fr-FR"/>
        </w:rPr>
      </w:pPr>
      <w:r w:rsidRPr="00CC7DE9">
        <w:rPr>
          <w:rFonts w:cs="Times New Roman"/>
          <w:color w:val="000000" w:themeColor="text1"/>
          <w:sz w:val="24"/>
          <w:lang w:val="fr-FR"/>
        </w:rPr>
        <w:t>7.7.8.4 Equilibre des masses situées dans des plans différents</w:t>
      </w:r>
    </w:p>
    <w:p w:rsidR="00432BA1" w:rsidRDefault="00432BA1" w:rsidP="00432BA1">
      <w:pPr>
        <w:ind w:firstLine="720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432BA1" w:rsidRDefault="00432BA1" w:rsidP="00432BA1">
      <w:pPr>
        <w:ind w:firstLine="720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FF5828" w:rsidRDefault="00FF5828" w:rsidP="00432BA1">
      <w:pPr>
        <w:ind w:firstLine="720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bookmarkStart w:id="1" w:name="_GoBack"/>
      <w:bookmarkEnd w:id="1"/>
    </w:p>
    <w:sectPr w:rsidR="00FF5828" w:rsidSect="00001DE7">
      <w:headerReference w:type="default" r:id="rId8"/>
      <w:pgSz w:w="11907" w:h="16839" w:code="9"/>
      <w:pgMar w:top="540" w:right="1440" w:bottom="1080" w:left="1440" w:header="63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C97" w:rsidRDefault="00746C97" w:rsidP="00330EDA">
      <w:r>
        <w:separator/>
      </w:r>
    </w:p>
  </w:endnote>
  <w:endnote w:type="continuationSeparator" w:id="0">
    <w:p w:rsidR="00746C97" w:rsidRDefault="00746C97" w:rsidP="003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C97" w:rsidRDefault="00746C97" w:rsidP="00330EDA">
      <w:r>
        <w:separator/>
      </w:r>
    </w:p>
  </w:footnote>
  <w:footnote w:type="continuationSeparator" w:id="0">
    <w:p w:rsidR="00746C97" w:rsidRDefault="00746C97" w:rsidP="0033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1EB" w:rsidRPr="004F318D" w:rsidRDefault="002801EB" w:rsidP="00FB082D">
    <w:pPr>
      <w:pBdr>
        <w:bottom w:val="double" w:sz="6" w:space="1" w:color="auto"/>
      </w:pBdr>
      <w:shd w:val="clear" w:color="000000" w:fill="auto"/>
      <w:tabs>
        <w:tab w:val="left" w:pos="5540"/>
        <w:tab w:val="left" w:pos="6255"/>
        <w:tab w:val="right" w:pos="9027"/>
        <w:tab w:val="right" w:pos="9922"/>
      </w:tabs>
      <w:rPr>
        <w:lang w:val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TS2-Informatique Industrielle                                                                                                                   Matière: Projet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B6F"/>
    <w:multiLevelType w:val="multilevel"/>
    <w:tmpl w:val="DBA257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8B6D04"/>
    <w:multiLevelType w:val="multilevel"/>
    <w:tmpl w:val="0D304C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2" w15:restartNumberingAfterBreak="0">
    <w:nsid w:val="04573E48"/>
    <w:multiLevelType w:val="multilevel"/>
    <w:tmpl w:val="3DE4D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AD7A40"/>
    <w:multiLevelType w:val="multilevel"/>
    <w:tmpl w:val="1E1EBF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9D31113"/>
    <w:multiLevelType w:val="multilevel"/>
    <w:tmpl w:val="5D922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C0219"/>
    <w:multiLevelType w:val="multilevel"/>
    <w:tmpl w:val="7506D7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D010F4E"/>
    <w:multiLevelType w:val="multilevel"/>
    <w:tmpl w:val="A82C40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6F7ACC"/>
    <w:multiLevelType w:val="multilevel"/>
    <w:tmpl w:val="589232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4B2BB1"/>
    <w:multiLevelType w:val="hybridMultilevel"/>
    <w:tmpl w:val="48789238"/>
    <w:lvl w:ilvl="0" w:tplc="D24422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56738"/>
    <w:multiLevelType w:val="multilevel"/>
    <w:tmpl w:val="581803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6BD060C"/>
    <w:multiLevelType w:val="multilevel"/>
    <w:tmpl w:val="78C462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16CB2324"/>
    <w:multiLevelType w:val="multilevel"/>
    <w:tmpl w:val="A3D0EF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 w15:restartNumberingAfterBreak="0">
    <w:nsid w:val="18B33386"/>
    <w:multiLevelType w:val="multilevel"/>
    <w:tmpl w:val="25F816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B02FC5"/>
    <w:multiLevelType w:val="multilevel"/>
    <w:tmpl w:val="ADE22C8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CB205A"/>
    <w:multiLevelType w:val="multilevel"/>
    <w:tmpl w:val="A0348B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1F09FF"/>
    <w:multiLevelType w:val="multilevel"/>
    <w:tmpl w:val="744ACD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51125DC"/>
    <w:multiLevelType w:val="hybridMultilevel"/>
    <w:tmpl w:val="93C0B5E0"/>
    <w:lvl w:ilvl="0" w:tplc="73C4A654">
      <w:start w:val="3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 w15:restartNumberingAfterBreak="0">
    <w:nsid w:val="27692AC3"/>
    <w:multiLevelType w:val="multilevel"/>
    <w:tmpl w:val="5866B27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8" w15:restartNumberingAfterBreak="0">
    <w:nsid w:val="297367ED"/>
    <w:multiLevelType w:val="multilevel"/>
    <w:tmpl w:val="8708AF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B400433"/>
    <w:multiLevelType w:val="multilevel"/>
    <w:tmpl w:val="880CDF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1" w15:restartNumberingAfterBreak="0">
    <w:nsid w:val="32A938B2"/>
    <w:multiLevelType w:val="hybridMultilevel"/>
    <w:tmpl w:val="F28443C0"/>
    <w:lvl w:ilvl="0" w:tplc="57C8F1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740"/>
    <w:multiLevelType w:val="multilevel"/>
    <w:tmpl w:val="B084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4" w15:restartNumberingAfterBreak="0">
    <w:nsid w:val="41F754CC"/>
    <w:multiLevelType w:val="hybridMultilevel"/>
    <w:tmpl w:val="D334128E"/>
    <w:lvl w:ilvl="0" w:tplc="05723C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A069E"/>
    <w:multiLevelType w:val="multilevel"/>
    <w:tmpl w:val="F8E04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BC4ED8"/>
    <w:multiLevelType w:val="hybridMultilevel"/>
    <w:tmpl w:val="9666678C"/>
    <w:lvl w:ilvl="0" w:tplc="D7AA0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66E87"/>
    <w:multiLevelType w:val="multilevel"/>
    <w:tmpl w:val="DABE5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25667E"/>
    <w:multiLevelType w:val="hybridMultilevel"/>
    <w:tmpl w:val="F2C4EBD2"/>
    <w:lvl w:ilvl="0" w:tplc="D8EA0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D45EE"/>
    <w:multiLevelType w:val="multilevel"/>
    <w:tmpl w:val="EB9C6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C75540"/>
    <w:multiLevelType w:val="multilevel"/>
    <w:tmpl w:val="A4108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8295DAF"/>
    <w:multiLevelType w:val="hybridMultilevel"/>
    <w:tmpl w:val="DAEE6662"/>
    <w:lvl w:ilvl="0" w:tplc="8E32B54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raditional Arabic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BF17B51"/>
    <w:multiLevelType w:val="hybridMultilevel"/>
    <w:tmpl w:val="41AE1EF6"/>
    <w:lvl w:ilvl="0" w:tplc="4C2A3EC4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raditional Arabic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5F325186"/>
    <w:multiLevelType w:val="multilevel"/>
    <w:tmpl w:val="6F987F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073648"/>
    <w:multiLevelType w:val="hybridMultilevel"/>
    <w:tmpl w:val="5E66FE56"/>
    <w:lvl w:ilvl="0" w:tplc="BB322488">
      <w:start w:val="1"/>
      <w:numFmt w:val="upperRoman"/>
      <w:lvlText w:val="%1."/>
      <w:lvlJc w:val="left"/>
      <w:pPr>
        <w:ind w:hanging="426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DF8A3D7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CE3EA24A">
      <w:start w:val="1"/>
      <w:numFmt w:val="bullet"/>
      <w:lvlText w:val="•"/>
      <w:lvlJc w:val="left"/>
      <w:rPr>
        <w:rFonts w:hint="default"/>
      </w:rPr>
    </w:lvl>
    <w:lvl w:ilvl="3" w:tplc="7BB69044">
      <w:start w:val="1"/>
      <w:numFmt w:val="bullet"/>
      <w:lvlText w:val="•"/>
      <w:lvlJc w:val="left"/>
      <w:rPr>
        <w:rFonts w:hint="default"/>
      </w:rPr>
    </w:lvl>
    <w:lvl w:ilvl="4" w:tplc="FD6A7E58">
      <w:start w:val="1"/>
      <w:numFmt w:val="bullet"/>
      <w:lvlText w:val="•"/>
      <w:lvlJc w:val="left"/>
      <w:rPr>
        <w:rFonts w:hint="default"/>
      </w:rPr>
    </w:lvl>
    <w:lvl w:ilvl="5" w:tplc="79A40B84">
      <w:start w:val="1"/>
      <w:numFmt w:val="bullet"/>
      <w:lvlText w:val="•"/>
      <w:lvlJc w:val="left"/>
      <w:rPr>
        <w:rFonts w:hint="default"/>
      </w:rPr>
    </w:lvl>
    <w:lvl w:ilvl="6" w:tplc="47FE5582">
      <w:start w:val="1"/>
      <w:numFmt w:val="bullet"/>
      <w:lvlText w:val="•"/>
      <w:lvlJc w:val="left"/>
      <w:rPr>
        <w:rFonts w:hint="default"/>
      </w:rPr>
    </w:lvl>
    <w:lvl w:ilvl="7" w:tplc="BF0E04C6">
      <w:start w:val="1"/>
      <w:numFmt w:val="bullet"/>
      <w:lvlText w:val="•"/>
      <w:lvlJc w:val="left"/>
      <w:rPr>
        <w:rFonts w:hint="default"/>
      </w:rPr>
    </w:lvl>
    <w:lvl w:ilvl="8" w:tplc="7728BC0C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0195AFF"/>
    <w:multiLevelType w:val="multilevel"/>
    <w:tmpl w:val="58D8B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6" w15:restartNumberingAfterBreak="0">
    <w:nsid w:val="62564986"/>
    <w:multiLevelType w:val="hybridMultilevel"/>
    <w:tmpl w:val="58005E42"/>
    <w:lvl w:ilvl="0" w:tplc="27600D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779F2"/>
    <w:multiLevelType w:val="multilevel"/>
    <w:tmpl w:val="056A2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234C13"/>
    <w:multiLevelType w:val="multilevel"/>
    <w:tmpl w:val="7D50CD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7C1A93"/>
    <w:multiLevelType w:val="hybridMultilevel"/>
    <w:tmpl w:val="76C60F88"/>
    <w:lvl w:ilvl="0" w:tplc="0EBCB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3D169BC"/>
    <w:multiLevelType w:val="multilevel"/>
    <w:tmpl w:val="48CACF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2" w15:restartNumberingAfterBreak="0">
    <w:nsid w:val="755F1C70"/>
    <w:multiLevelType w:val="multilevel"/>
    <w:tmpl w:val="66B489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63B75BC"/>
    <w:multiLevelType w:val="multilevel"/>
    <w:tmpl w:val="EEC6C3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4" w15:restartNumberingAfterBreak="0">
    <w:nsid w:val="76FC7584"/>
    <w:multiLevelType w:val="multilevel"/>
    <w:tmpl w:val="5A4EFF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5" w15:restartNumberingAfterBreak="0">
    <w:nsid w:val="772F28F2"/>
    <w:multiLevelType w:val="multilevel"/>
    <w:tmpl w:val="EE8025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446F48"/>
    <w:multiLevelType w:val="multilevel"/>
    <w:tmpl w:val="BBB22E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C77097"/>
    <w:multiLevelType w:val="multilevel"/>
    <w:tmpl w:val="64126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5"/>
  </w:num>
  <w:num w:numId="5">
    <w:abstractNumId w:val="27"/>
  </w:num>
  <w:num w:numId="6">
    <w:abstractNumId w:val="47"/>
  </w:num>
  <w:num w:numId="7">
    <w:abstractNumId w:val="29"/>
  </w:num>
  <w:num w:numId="8">
    <w:abstractNumId w:val="19"/>
  </w:num>
  <w:num w:numId="9">
    <w:abstractNumId w:val="6"/>
  </w:num>
  <w:num w:numId="10">
    <w:abstractNumId w:val="40"/>
  </w:num>
  <w:num w:numId="11">
    <w:abstractNumId w:val="10"/>
  </w:num>
  <w:num w:numId="12">
    <w:abstractNumId w:val="16"/>
  </w:num>
  <w:num w:numId="13">
    <w:abstractNumId w:val="20"/>
  </w:num>
  <w:num w:numId="14">
    <w:abstractNumId w:val="15"/>
  </w:num>
  <w:num w:numId="15">
    <w:abstractNumId w:val="34"/>
  </w:num>
  <w:num w:numId="16">
    <w:abstractNumId w:val="42"/>
  </w:num>
  <w:num w:numId="17">
    <w:abstractNumId w:val="39"/>
  </w:num>
  <w:num w:numId="18">
    <w:abstractNumId w:val="24"/>
  </w:num>
  <w:num w:numId="19">
    <w:abstractNumId w:val="12"/>
  </w:num>
  <w:num w:numId="20">
    <w:abstractNumId w:val="37"/>
  </w:num>
  <w:num w:numId="21">
    <w:abstractNumId w:val="32"/>
  </w:num>
  <w:num w:numId="22">
    <w:abstractNumId w:val="8"/>
  </w:num>
  <w:num w:numId="23">
    <w:abstractNumId w:val="28"/>
  </w:num>
  <w:num w:numId="24">
    <w:abstractNumId w:val="31"/>
  </w:num>
  <w:num w:numId="25">
    <w:abstractNumId w:val="11"/>
  </w:num>
  <w:num w:numId="26">
    <w:abstractNumId w:val="9"/>
  </w:num>
  <w:num w:numId="27">
    <w:abstractNumId w:val="17"/>
  </w:num>
  <w:num w:numId="28">
    <w:abstractNumId w:val="46"/>
  </w:num>
  <w:num w:numId="29">
    <w:abstractNumId w:val="14"/>
  </w:num>
  <w:num w:numId="30">
    <w:abstractNumId w:val="1"/>
  </w:num>
  <w:num w:numId="31">
    <w:abstractNumId w:val="33"/>
  </w:num>
  <w:num w:numId="32">
    <w:abstractNumId w:val="38"/>
  </w:num>
  <w:num w:numId="33">
    <w:abstractNumId w:val="45"/>
  </w:num>
  <w:num w:numId="34">
    <w:abstractNumId w:val="0"/>
  </w:num>
  <w:num w:numId="35">
    <w:abstractNumId w:val="18"/>
  </w:num>
  <w:num w:numId="36">
    <w:abstractNumId w:val="36"/>
  </w:num>
  <w:num w:numId="37">
    <w:abstractNumId w:val="22"/>
  </w:num>
  <w:num w:numId="38">
    <w:abstractNumId w:val="2"/>
  </w:num>
  <w:num w:numId="39">
    <w:abstractNumId w:val="7"/>
  </w:num>
  <w:num w:numId="40">
    <w:abstractNumId w:val="26"/>
  </w:num>
  <w:num w:numId="41">
    <w:abstractNumId w:val="21"/>
  </w:num>
  <w:num w:numId="42">
    <w:abstractNumId w:val="35"/>
  </w:num>
  <w:num w:numId="43">
    <w:abstractNumId w:val="30"/>
  </w:num>
  <w:num w:numId="44">
    <w:abstractNumId w:val="25"/>
  </w:num>
  <w:num w:numId="45">
    <w:abstractNumId w:val="41"/>
  </w:num>
  <w:num w:numId="46">
    <w:abstractNumId w:val="43"/>
  </w:num>
  <w:num w:numId="47">
    <w:abstractNumId w:val="13"/>
  </w:num>
  <w:num w:numId="48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DA"/>
    <w:rsid w:val="00001DE7"/>
    <w:rsid w:val="00007F5A"/>
    <w:rsid w:val="0002270E"/>
    <w:rsid w:val="000260ED"/>
    <w:rsid w:val="00031D3E"/>
    <w:rsid w:val="0003590E"/>
    <w:rsid w:val="00052CF8"/>
    <w:rsid w:val="00065C6D"/>
    <w:rsid w:val="00075EB9"/>
    <w:rsid w:val="0009052D"/>
    <w:rsid w:val="0009614E"/>
    <w:rsid w:val="000A6B28"/>
    <w:rsid w:val="000C3C4E"/>
    <w:rsid w:val="000D523C"/>
    <w:rsid w:val="000E2F44"/>
    <w:rsid w:val="000E4248"/>
    <w:rsid w:val="000F1B97"/>
    <w:rsid w:val="000F312F"/>
    <w:rsid w:val="001067E9"/>
    <w:rsid w:val="00106D6B"/>
    <w:rsid w:val="00114239"/>
    <w:rsid w:val="00116E78"/>
    <w:rsid w:val="00120216"/>
    <w:rsid w:val="001205F3"/>
    <w:rsid w:val="00120C91"/>
    <w:rsid w:val="00124CDE"/>
    <w:rsid w:val="001462D6"/>
    <w:rsid w:val="0015630C"/>
    <w:rsid w:val="00167C96"/>
    <w:rsid w:val="001707E7"/>
    <w:rsid w:val="001730BC"/>
    <w:rsid w:val="001735ED"/>
    <w:rsid w:val="0017379F"/>
    <w:rsid w:val="00173949"/>
    <w:rsid w:val="0019254A"/>
    <w:rsid w:val="00195875"/>
    <w:rsid w:val="001970DB"/>
    <w:rsid w:val="001A5290"/>
    <w:rsid w:val="001B3B0C"/>
    <w:rsid w:val="001C1C09"/>
    <w:rsid w:val="001C51DE"/>
    <w:rsid w:val="001C7A58"/>
    <w:rsid w:val="001D0021"/>
    <w:rsid w:val="001D4570"/>
    <w:rsid w:val="001E0189"/>
    <w:rsid w:val="001E642D"/>
    <w:rsid w:val="001F66C3"/>
    <w:rsid w:val="0020796F"/>
    <w:rsid w:val="00214E96"/>
    <w:rsid w:val="0023266B"/>
    <w:rsid w:val="002352E1"/>
    <w:rsid w:val="002354B2"/>
    <w:rsid w:val="00250C72"/>
    <w:rsid w:val="00255F3E"/>
    <w:rsid w:val="00257A91"/>
    <w:rsid w:val="0027337E"/>
    <w:rsid w:val="0027706B"/>
    <w:rsid w:val="002801EB"/>
    <w:rsid w:val="0028087C"/>
    <w:rsid w:val="00282A50"/>
    <w:rsid w:val="0028343C"/>
    <w:rsid w:val="00292ADC"/>
    <w:rsid w:val="002947DE"/>
    <w:rsid w:val="002A5365"/>
    <w:rsid w:val="002A55C7"/>
    <w:rsid w:val="002B56E7"/>
    <w:rsid w:val="002B6108"/>
    <w:rsid w:val="002C0DDE"/>
    <w:rsid w:val="002D0445"/>
    <w:rsid w:val="002D2A67"/>
    <w:rsid w:val="002D3A90"/>
    <w:rsid w:val="002D524C"/>
    <w:rsid w:val="002E27EF"/>
    <w:rsid w:val="002E348D"/>
    <w:rsid w:val="002E3C5B"/>
    <w:rsid w:val="002E4561"/>
    <w:rsid w:val="002E7DE5"/>
    <w:rsid w:val="002F3E63"/>
    <w:rsid w:val="002F505E"/>
    <w:rsid w:val="002F7D4E"/>
    <w:rsid w:val="00300CB2"/>
    <w:rsid w:val="00302C12"/>
    <w:rsid w:val="0030525F"/>
    <w:rsid w:val="00320CE2"/>
    <w:rsid w:val="0032698D"/>
    <w:rsid w:val="00330EDA"/>
    <w:rsid w:val="003318B4"/>
    <w:rsid w:val="00331CFA"/>
    <w:rsid w:val="003545A6"/>
    <w:rsid w:val="00357891"/>
    <w:rsid w:val="00360739"/>
    <w:rsid w:val="003660C9"/>
    <w:rsid w:val="00366282"/>
    <w:rsid w:val="003746D6"/>
    <w:rsid w:val="00377908"/>
    <w:rsid w:val="003901F3"/>
    <w:rsid w:val="003A0200"/>
    <w:rsid w:val="003A305B"/>
    <w:rsid w:val="003A3179"/>
    <w:rsid w:val="003A3D6A"/>
    <w:rsid w:val="003A547A"/>
    <w:rsid w:val="003B3D9C"/>
    <w:rsid w:val="003C1CE2"/>
    <w:rsid w:val="003C2524"/>
    <w:rsid w:val="003D1807"/>
    <w:rsid w:val="003E546A"/>
    <w:rsid w:val="003F1F6B"/>
    <w:rsid w:val="00402CF0"/>
    <w:rsid w:val="00407B7E"/>
    <w:rsid w:val="0041498F"/>
    <w:rsid w:val="00421394"/>
    <w:rsid w:val="00430644"/>
    <w:rsid w:val="00430DCE"/>
    <w:rsid w:val="00432BA1"/>
    <w:rsid w:val="00432FFA"/>
    <w:rsid w:val="004605FD"/>
    <w:rsid w:val="00476A4A"/>
    <w:rsid w:val="0048051B"/>
    <w:rsid w:val="00490E8A"/>
    <w:rsid w:val="00493D4A"/>
    <w:rsid w:val="004C7C0D"/>
    <w:rsid w:val="004E0D7F"/>
    <w:rsid w:val="004E77AF"/>
    <w:rsid w:val="004F318D"/>
    <w:rsid w:val="004F4395"/>
    <w:rsid w:val="00500A82"/>
    <w:rsid w:val="00503161"/>
    <w:rsid w:val="00523E7E"/>
    <w:rsid w:val="00530543"/>
    <w:rsid w:val="005569B6"/>
    <w:rsid w:val="00563804"/>
    <w:rsid w:val="0058606A"/>
    <w:rsid w:val="005869C9"/>
    <w:rsid w:val="00596497"/>
    <w:rsid w:val="005A5717"/>
    <w:rsid w:val="005A5D68"/>
    <w:rsid w:val="005C2043"/>
    <w:rsid w:val="005C20AC"/>
    <w:rsid w:val="005C76C5"/>
    <w:rsid w:val="005E50F5"/>
    <w:rsid w:val="005E7BE0"/>
    <w:rsid w:val="005F525A"/>
    <w:rsid w:val="00600221"/>
    <w:rsid w:val="006049BE"/>
    <w:rsid w:val="006420BA"/>
    <w:rsid w:val="006429C6"/>
    <w:rsid w:val="00643DC6"/>
    <w:rsid w:val="00652567"/>
    <w:rsid w:val="00653265"/>
    <w:rsid w:val="006538CC"/>
    <w:rsid w:val="00655725"/>
    <w:rsid w:val="00663F64"/>
    <w:rsid w:val="006A6E28"/>
    <w:rsid w:val="006A6FB5"/>
    <w:rsid w:val="006B07FC"/>
    <w:rsid w:val="006C2062"/>
    <w:rsid w:val="006C3E9C"/>
    <w:rsid w:val="006C759C"/>
    <w:rsid w:val="006F05B5"/>
    <w:rsid w:val="006F53C1"/>
    <w:rsid w:val="006F5579"/>
    <w:rsid w:val="0070738D"/>
    <w:rsid w:val="007111E6"/>
    <w:rsid w:val="00721457"/>
    <w:rsid w:val="00724922"/>
    <w:rsid w:val="00727D6D"/>
    <w:rsid w:val="0073779B"/>
    <w:rsid w:val="00746C97"/>
    <w:rsid w:val="00747D58"/>
    <w:rsid w:val="00755C15"/>
    <w:rsid w:val="00755CF0"/>
    <w:rsid w:val="00757F3A"/>
    <w:rsid w:val="00760D94"/>
    <w:rsid w:val="00762593"/>
    <w:rsid w:val="00791C54"/>
    <w:rsid w:val="00794827"/>
    <w:rsid w:val="00795B59"/>
    <w:rsid w:val="007A03EB"/>
    <w:rsid w:val="007B0298"/>
    <w:rsid w:val="007B3E60"/>
    <w:rsid w:val="007B6D09"/>
    <w:rsid w:val="007C5B10"/>
    <w:rsid w:val="007C787A"/>
    <w:rsid w:val="007D176D"/>
    <w:rsid w:val="007E063A"/>
    <w:rsid w:val="007E14F5"/>
    <w:rsid w:val="007F0C2F"/>
    <w:rsid w:val="007F154A"/>
    <w:rsid w:val="00805476"/>
    <w:rsid w:val="0081797B"/>
    <w:rsid w:val="00817D93"/>
    <w:rsid w:val="00827D50"/>
    <w:rsid w:val="00831487"/>
    <w:rsid w:val="00833DA0"/>
    <w:rsid w:val="00835671"/>
    <w:rsid w:val="00842374"/>
    <w:rsid w:val="00845BFC"/>
    <w:rsid w:val="00846490"/>
    <w:rsid w:val="008606A4"/>
    <w:rsid w:val="00864096"/>
    <w:rsid w:val="00865D8B"/>
    <w:rsid w:val="00885E66"/>
    <w:rsid w:val="008A4173"/>
    <w:rsid w:val="008A4945"/>
    <w:rsid w:val="008A4C7E"/>
    <w:rsid w:val="008A4C86"/>
    <w:rsid w:val="008B2037"/>
    <w:rsid w:val="008B58B3"/>
    <w:rsid w:val="008B792D"/>
    <w:rsid w:val="008C1A91"/>
    <w:rsid w:val="008C4AC7"/>
    <w:rsid w:val="008D4582"/>
    <w:rsid w:val="008F6F9A"/>
    <w:rsid w:val="008F7AA8"/>
    <w:rsid w:val="009157C8"/>
    <w:rsid w:val="00917344"/>
    <w:rsid w:val="00921366"/>
    <w:rsid w:val="0092142C"/>
    <w:rsid w:val="00926ED5"/>
    <w:rsid w:val="00935D74"/>
    <w:rsid w:val="00942CCF"/>
    <w:rsid w:val="00946028"/>
    <w:rsid w:val="009524F2"/>
    <w:rsid w:val="0097664C"/>
    <w:rsid w:val="009876F8"/>
    <w:rsid w:val="00993BDA"/>
    <w:rsid w:val="009B5446"/>
    <w:rsid w:val="009E7039"/>
    <w:rsid w:val="009F077D"/>
    <w:rsid w:val="009F10B0"/>
    <w:rsid w:val="009F1319"/>
    <w:rsid w:val="009F460D"/>
    <w:rsid w:val="009F571B"/>
    <w:rsid w:val="009F5F8F"/>
    <w:rsid w:val="009F62D4"/>
    <w:rsid w:val="00A06506"/>
    <w:rsid w:val="00A10199"/>
    <w:rsid w:val="00A13679"/>
    <w:rsid w:val="00A151B8"/>
    <w:rsid w:val="00A33006"/>
    <w:rsid w:val="00A33BC8"/>
    <w:rsid w:val="00A360CE"/>
    <w:rsid w:val="00A56367"/>
    <w:rsid w:val="00A71536"/>
    <w:rsid w:val="00A76472"/>
    <w:rsid w:val="00A77E25"/>
    <w:rsid w:val="00A91471"/>
    <w:rsid w:val="00A9293C"/>
    <w:rsid w:val="00A9716F"/>
    <w:rsid w:val="00AA7EC5"/>
    <w:rsid w:val="00AB5455"/>
    <w:rsid w:val="00AB57A4"/>
    <w:rsid w:val="00AD14BD"/>
    <w:rsid w:val="00AD48A4"/>
    <w:rsid w:val="00AD4B7B"/>
    <w:rsid w:val="00AE6506"/>
    <w:rsid w:val="00AE6E29"/>
    <w:rsid w:val="00AF102C"/>
    <w:rsid w:val="00AF6175"/>
    <w:rsid w:val="00B06054"/>
    <w:rsid w:val="00B0788A"/>
    <w:rsid w:val="00B1567E"/>
    <w:rsid w:val="00B21011"/>
    <w:rsid w:val="00B23C7A"/>
    <w:rsid w:val="00B3049D"/>
    <w:rsid w:val="00B35F1A"/>
    <w:rsid w:val="00B4102A"/>
    <w:rsid w:val="00B645AD"/>
    <w:rsid w:val="00B876D4"/>
    <w:rsid w:val="00B940BC"/>
    <w:rsid w:val="00BA3FAD"/>
    <w:rsid w:val="00BA5BEA"/>
    <w:rsid w:val="00BB2219"/>
    <w:rsid w:val="00BB31FC"/>
    <w:rsid w:val="00BB3B45"/>
    <w:rsid w:val="00BC1203"/>
    <w:rsid w:val="00BD168A"/>
    <w:rsid w:val="00BD2930"/>
    <w:rsid w:val="00BD40B7"/>
    <w:rsid w:val="00BD4F04"/>
    <w:rsid w:val="00BD5BCD"/>
    <w:rsid w:val="00BD7BA2"/>
    <w:rsid w:val="00BE641E"/>
    <w:rsid w:val="00BE6A8B"/>
    <w:rsid w:val="00C00ECB"/>
    <w:rsid w:val="00C06575"/>
    <w:rsid w:val="00C117B2"/>
    <w:rsid w:val="00C1592D"/>
    <w:rsid w:val="00C1713B"/>
    <w:rsid w:val="00C354B1"/>
    <w:rsid w:val="00C368F0"/>
    <w:rsid w:val="00C41893"/>
    <w:rsid w:val="00C45059"/>
    <w:rsid w:val="00C56BDD"/>
    <w:rsid w:val="00C66103"/>
    <w:rsid w:val="00C80272"/>
    <w:rsid w:val="00C925FD"/>
    <w:rsid w:val="00C92FE8"/>
    <w:rsid w:val="00CA0D1E"/>
    <w:rsid w:val="00CA0D7F"/>
    <w:rsid w:val="00CA5D75"/>
    <w:rsid w:val="00CB037D"/>
    <w:rsid w:val="00CD2EAF"/>
    <w:rsid w:val="00CD348A"/>
    <w:rsid w:val="00CD6481"/>
    <w:rsid w:val="00CE0F1E"/>
    <w:rsid w:val="00CF15EB"/>
    <w:rsid w:val="00D05DE9"/>
    <w:rsid w:val="00D075A5"/>
    <w:rsid w:val="00D10C87"/>
    <w:rsid w:val="00D128F8"/>
    <w:rsid w:val="00D41E9D"/>
    <w:rsid w:val="00D54C09"/>
    <w:rsid w:val="00D5543B"/>
    <w:rsid w:val="00D72624"/>
    <w:rsid w:val="00D758CD"/>
    <w:rsid w:val="00DA1B06"/>
    <w:rsid w:val="00DA2769"/>
    <w:rsid w:val="00DB577A"/>
    <w:rsid w:val="00DC2630"/>
    <w:rsid w:val="00DC3C63"/>
    <w:rsid w:val="00DF0F7A"/>
    <w:rsid w:val="00E04D04"/>
    <w:rsid w:val="00E164EF"/>
    <w:rsid w:val="00E22B99"/>
    <w:rsid w:val="00E2394E"/>
    <w:rsid w:val="00E30356"/>
    <w:rsid w:val="00E331AA"/>
    <w:rsid w:val="00E36D61"/>
    <w:rsid w:val="00E43D7B"/>
    <w:rsid w:val="00E44589"/>
    <w:rsid w:val="00E45BBD"/>
    <w:rsid w:val="00E54126"/>
    <w:rsid w:val="00E57A05"/>
    <w:rsid w:val="00E57FD0"/>
    <w:rsid w:val="00E611F7"/>
    <w:rsid w:val="00E9367D"/>
    <w:rsid w:val="00EA5A5A"/>
    <w:rsid w:val="00EC3BC5"/>
    <w:rsid w:val="00EC5366"/>
    <w:rsid w:val="00EC7F92"/>
    <w:rsid w:val="00ED40D5"/>
    <w:rsid w:val="00ED6C4D"/>
    <w:rsid w:val="00EE6BA8"/>
    <w:rsid w:val="00EE6FA2"/>
    <w:rsid w:val="00EF4C2A"/>
    <w:rsid w:val="00EF74A2"/>
    <w:rsid w:val="00EF7568"/>
    <w:rsid w:val="00F14124"/>
    <w:rsid w:val="00F15FBB"/>
    <w:rsid w:val="00F16628"/>
    <w:rsid w:val="00F35D00"/>
    <w:rsid w:val="00F5402B"/>
    <w:rsid w:val="00F5704A"/>
    <w:rsid w:val="00F57D75"/>
    <w:rsid w:val="00F62596"/>
    <w:rsid w:val="00F629C2"/>
    <w:rsid w:val="00F63F19"/>
    <w:rsid w:val="00F67EE1"/>
    <w:rsid w:val="00F72089"/>
    <w:rsid w:val="00F72627"/>
    <w:rsid w:val="00F72EA8"/>
    <w:rsid w:val="00F817F6"/>
    <w:rsid w:val="00F83E01"/>
    <w:rsid w:val="00F87D7D"/>
    <w:rsid w:val="00F94D5A"/>
    <w:rsid w:val="00FA0200"/>
    <w:rsid w:val="00FA3186"/>
    <w:rsid w:val="00FB082D"/>
    <w:rsid w:val="00FB55BB"/>
    <w:rsid w:val="00FC6E6C"/>
    <w:rsid w:val="00FE3AB2"/>
    <w:rsid w:val="00FE3D6A"/>
    <w:rsid w:val="00FF5828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5707714F-B3CB-4979-BC7A-56049D0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10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1798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FA606-6AC8-47D1-B6DA-1F56FDB04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1567</Words>
  <Characters>8935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TS1-gestion et finance</vt:lpstr>
    </vt:vector>
  </TitlesOfParts>
  <Company>By DR.Ahmed Saker 2o1O ;)</Company>
  <LinksUpToDate>false</LinksUpToDate>
  <CharactersWithSpaces>10482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TS1-gestion et finance</dc:title>
  <dc:creator>zakaria</dc:creator>
  <cp:lastModifiedBy>ed</cp:lastModifiedBy>
  <cp:revision>6</cp:revision>
  <cp:lastPrinted>2014-08-03T12:42:00Z</cp:lastPrinted>
  <dcterms:created xsi:type="dcterms:W3CDTF">2014-09-10T05:24:00Z</dcterms:created>
  <dcterms:modified xsi:type="dcterms:W3CDTF">2019-07-24T06:41:00Z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Tableau de repartition</vt:lpwstr>
  </property>
</Properties>
</file>